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A39" w:rsidRPr="00C25A39" w:rsidRDefault="00C25A39" w:rsidP="00C25A39">
      <w:pPr>
        <w:ind w:firstLine="567"/>
        <w:jc w:val="center"/>
        <w:rPr>
          <w:rFonts w:ascii="Times New Roman" w:hAnsi="Times New Roman" w:cs="Times New Roman"/>
          <w:b/>
          <w:sz w:val="24"/>
          <w:szCs w:val="24"/>
          <w:lang w:val="en-US"/>
        </w:rPr>
      </w:pPr>
      <w:r w:rsidRPr="00C25A39">
        <w:rPr>
          <w:rFonts w:ascii="Times New Roman" w:hAnsi="Times New Roman" w:cs="Times New Roman"/>
          <w:b/>
          <w:sz w:val="24"/>
          <w:szCs w:val="24"/>
          <w:lang w:val="en-US"/>
        </w:rPr>
        <w:t>ESP vocabulary teaching</w:t>
      </w:r>
    </w:p>
    <w:p w:rsidR="00C25A39" w:rsidRDefault="00C25A39" w:rsidP="00C25A39">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 xml:space="preserve">English for Specific Purposes (ESP) represents a </w:t>
      </w:r>
      <w:proofErr w:type="spellStart"/>
      <w:r w:rsidRPr="00C25A39">
        <w:rPr>
          <w:rFonts w:ascii="Times New Roman" w:hAnsi="Times New Roman" w:cs="Times New Roman"/>
          <w:sz w:val="24"/>
          <w:szCs w:val="24"/>
          <w:lang w:val="en-US"/>
        </w:rPr>
        <w:t>spesific</w:t>
      </w:r>
      <w:proofErr w:type="spellEnd"/>
      <w:r w:rsidRPr="00C25A39">
        <w:rPr>
          <w:rFonts w:ascii="Times New Roman" w:hAnsi="Times New Roman" w:cs="Times New Roman"/>
          <w:sz w:val="24"/>
          <w:szCs w:val="24"/>
          <w:lang w:val="en-US"/>
        </w:rPr>
        <w:t xml:space="preserve"> reason for learning a foreign language. There are distinguished two types of ESP: English for Occupational Purposes (EOP learning English for a job) and English for Academic Purposes (EAP - learning English for a study specialization). At present these streams include a lot of other fields, e.g. English for Technicians. The students at the vocational secondary school of furniture industry should study ESP vocabulary, especially English for Technicians. According to Hatch and Brown (312), “special lexical items are present in nearly all professions, and each branch has special vocabulary to cover abstract concepts.” Kennedy and Bolitho (56-58) distinguish these word categories for teaching technical vocabulary: </w:t>
      </w:r>
    </w:p>
    <w:p w:rsidR="00C25A39" w:rsidRDefault="00C25A39" w:rsidP="00C25A39">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C25A39">
        <w:rPr>
          <w:rFonts w:ascii="Times New Roman" w:hAnsi="Times New Roman" w:cs="Times New Roman"/>
          <w:sz w:val="24"/>
          <w:szCs w:val="24"/>
          <w:lang w:val="en-US"/>
        </w:rPr>
        <w:t xml:space="preserve"> Technical Abbreviations, Symbols and Formulae – they partly cause the problems. Teachers´ role is to explain patiently their form and meaning, and students should </w:t>
      </w:r>
      <w:proofErr w:type="spellStart"/>
      <w:r w:rsidRPr="00C25A39">
        <w:rPr>
          <w:rFonts w:ascii="Times New Roman" w:hAnsi="Times New Roman" w:cs="Times New Roman"/>
          <w:sz w:val="24"/>
          <w:szCs w:val="24"/>
          <w:lang w:val="en-US"/>
        </w:rPr>
        <w:t>practise</w:t>
      </w:r>
      <w:proofErr w:type="spellEnd"/>
      <w:r w:rsidRPr="00C25A39">
        <w:rPr>
          <w:rFonts w:ascii="Times New Roman" w:hAnsi="Times New Roman" w:cs="Times New Roman"/>
          <w:sz w:val="24"/>
          <w:szCs w:val="24"/>
          <w:lang w:val="en-US"/>
        </w:rPr>
        <w:t xml:space="preserve"> them in spoken and written exercises. </w:t>
      </w:r>
    </w:p>
    <w:p w:rsidR="00C25A39" w:rsidRDefault="00C25A39" w:rsidP="00C25A39">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C25A39">
        <w:rPr>
          <w:rFonts w:ascii="Times New Roman" w:hAnsi="Times New Roman" w:cs="Times New Roman"/>
          <w:sz w:val="24"/>
          <w:szCs w:val="24"/>
          <w:lang w:val="en-US"/>
        </w:rPr>
        <w:t xml:space="preserve"> Sub-technical vocabulary – words which are not directly a part of specific technical branch, but they occur generally in scientific and technical texts – e.g. derivation, conversion, dense and isolation. </w:t>
      </w:r>
    </w:p>
    <w:p w:rsidR="00C25A39" w:rsidRPr="00C25A39" w:rsidRDefault="00C25A39" w:rsidP="00C25A39">
      <w:pPr>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C25A39">
        <w:rPr>
          <w:rFonts w:ascii="Times New Roman" w:hAnsi="Times New Roman" w:cs="Times New Roman"/>
          <w:sz w:val="24"/>
          <w:szCs w:val="24"/>
          <w:lang w:val="en-US"/>
        </w:rPr>
        <w:t xml:space="preserve"> Highly technical vocabulary – words that have a close thematic relationship and belong to the specific technical field.</w:t>
      </w:r>
    </w:p>
    <w:p w:rsidR="00C25A39" w:rsidRDefault="00C25A39" w:rsidP="00C25A39">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The fundamental problem which has to be solved by authors designing technical teaching materials is: contemporary students at the vocational secondary school have little knowledge not only English, but also their profession. This fact reflects in these two factors: teaching material should be managed by students in both the language and specialization. Hatch and Brown (370) stress that “the specificity of any individual’s knowledge about a word depends on the person</w:t>
      </w:r>
      <w:r>
        <w:rPr>
          <w:rFonts w:ascii="Times New Roman" w:hAnsi="Times New Roman" w:cs="Times New Roman"/>
          <w:sz w:val="24"/>
          <w:szCs w:val="24"/>
          <w:lang w:val="en-US"/>
        </w:rPr>
        <w:t xml:space="preserve"> </w:t>
      </w:r>
      <w:r w:rsidRPr="00C25A39">
        <w:rPr>
          <w:rFonts w:ascii="Times New Roman" w:hAnsi="Times New Roman" w:cs="Times New Roman"/>
          <w:sz w:val="24"/>
          <w:szCs w:val="24"/>
          <w:lang w:val="en-US"/>
        </w:rPr>
        <w:t xml:space="preserve">and his or her motivation, desires, and needs for the word.” There is also an important role of teachers to facilitate learning of technical vocabulary with the </w:t>
      </w:r>
      <w:proofErr w:type="spellStart"/>
      <w:r w:rsidRPr="00C25A39">
        <w:rPr>
          <w:rFonts w:ascii="Times New Roman" w:hAnsi="Times New Roman" w:cs="Times New Roman"/>
          <w:sz w:val="24"/>
          <w:szCs w:val="24"/>
          <w:lang w:val="en-US"/>
        </w:rPr>
        <w:t>favourable</w:t>
      </w:r>
      <w:proofErr w:type="spellEnd"/>
      <w:r w:rsidRPr="00C25A39">
        <w:rPr>
          <w:rFonts w:ascii="Times New Roman" w:hAnsi="Times New Roman" w:cs="Times New Roman"/>
          <w:sz w:val="24"/>
          <w:szCs w:val="24"/>
          <w:lang w:val="en-US"/>
        </w:rPr>
        <w:t xml:space="preserve"> secondary impact on the good</w:t>
      </w:r>
      <w:r>
        <w:rPr>
          <w:rFonts w:ascii="Times New Roman" w:hAnsi="Times New Roman" w:cs="Times New Roman"/>
          <w:sz w:val="24"/>
          <w:szCs w:val="24"/>
          <w:lang w:val="en-US"/>
        </w:rPr>
        <w:t xml:space="preserve"> general knowledge of English. </w:t>
      </w:r>
      <w:r w:rsidRPr="00C25A39">
        <w:rPr>
          <w:rFonts w:ascii="Times New Roman" w:hAnsi="Times New Roman" w:cs="Times New Roman"/>
          <w:sz w:val="24"/>
          <w:szCs w:val="24"/>
          <w:lang w:val="en-US"/>
        </w:rPr>
        <w:t xml:space="preserve"> </w:t>
      </w:r>
    </w:p>
    <w:p w:rsidR="00C25A39" w:rsidRDefault="00C25A39" w:rsidP="00C25A39">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 xml:space="preserve">Selecting vocabulary </w:t>
      </w:r>
    </w:p>
    <w:p w:rsidR="00060933" w:rsidRPr="00C25A39" w:rsidRDefault="00C25A39" w:rsidP="00C25A39">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 xml:space="preserve">The initial step in teaching ESP vocabulary is to determine which words and special terms in fact to teach. </w:t>
      </w:r>
      <w:proofErr w:type="spellStart"/>
      <w:r w:rsidRPr="00C25A39">
        <w:rPr>
          <w:rFonts w:ascii="Times New Roman" w:hAnsi="Times New Roman" w:cs="Times New Roman"/>
          <w:sz w:val="24"/>
          <w:szCs w:val="24"/>
          <w:lang w:val="en-US"/>
        </w:rPr>
        <w:t>Gairns</w:t>
      </w:r>
      <w:proofErr w:type="spellEnd"/>
      <w:r w:rsidRPr="00C25A39">
        <w:rPr>
          <w:rFonts w:ascii="Times New Roman" w:hAnsi="Times New Roman" w:cs="Times New Roman"/>
          <w:sz w:val="24"/>
          <w:szCs w:val="24"/>
          <w:lang w:val="en-US"/>
        </w:rPr>
        <w:t xml:space="preserve"> and Redman (59) emphasize especially cultural reasons and the principles of need and level. Authors of teaching materials and teachers should take into account also the criteria of </w:t>
      </w:r>
      <w:proofErr w:type="spellStart"/>
      <w:r w:rsidRPr="00C25A39">
        <w:rPr>
          <w:rFonts w:ascii="Times New Roman" w:hAnsi="Times New Roman" w:cs="Times New Roman"/>
          <w:sz w:val="24"/>
          <w:szCs w:val="24"/>
          <w:lang w:val="en-US"/>
        </w:rPr>
        <w:t>learnability</w:t>
      </w:r>
      <w:proofErr w:type="spellEnd"/>
      <w:r w:rsidRPr="00C25A39">
        <w:rPr>
          <w:rFonts w:ascii="Times New Roman" w:hAnsi="Times New Roman" w:cs="Times New Roman"/>
          <w:sz w:val="24"/>
          <w:szCs w:val="24"/>
          <w:lang w:val="en-US"/>
        </w:rPr>
        <w:t xml:space="preserve"> and </w:t>
      </w:r>
      <w:proofErr w:type="spellStart"/>
      <w:r w:rsidRPr="00C25A39">
        <w:rPr>
          <w:rFonts w:ascii="Times New Roman" w:hAnsi="Times New Roman" w:cs="Times New Roman"/>
          <w:sz w:val="24"/>
          <w:szCs w:val="24"/>
          <w:lang w:val="en-US"/>
        </w:rPr>
        <w:t>teachability</w:t>
      </w:r>
      <w:proofErr w:type="spellEnd"/>
      <w:r w:rsidRPr="00C25A39">
        <w:rPr>
          <w:rFonts w:ascii="Times New Roman" w:hAnsi="Times New Roman" w:cs="Times New Roman"/>
          <w:sz w:val="24"/>
          <w:szCs w:val="24"/>
          <w:lang w:val="en-US"/>
        </w:rPr>
        <w:t xml:space="preserve">.  According to Harmer (154), one of the most common principles of vocabulary selection is to teach at first concrete words and gradually abstract words. Words like chair, table, sofa and wardrobe are easily presented and explained, because students can see or imagine the real things which the words represent. On the contrary, abstract words like density, qualifications, safety are more difficult to explain. There are a number of words that are connected with the idea of furniture (chair, table, sofa and wardrobe). Words that have this kind of thematic relationship are said to belong to the same lexical field.  The texts of practical part also contain the lexical field of tool-related words that partly overlap with furniture words (hammer, screwdriver and saw) as well as terminology connected with trees (hardwood and softwood). After selection words for teaching purpose it is also indispensable to decide what to teach about each naming unit. According to Harmer (158) and </w:t>
      </w:r>
      <w:proofErr w:type="spellStart"/>
      <w:r w:rsidRPr="00C25A39">
        <w:rPr>
          <w:rFonts w:ascii="Times New Roman" w:hAnsi="Times New Roman" w:cs="Times New Roman"/>
          <w:sz w:val="24"/>
          <w:szCs w:val="24"/>
          <w:lang w:val="en-US"/>
        </w:rPr>
        <w:t>Thornbury</w:t>
      </w:r>
      <w:proofErr w:type="spellEnd"/>
      <w:r w:rsidRPr="00C25A39">
        <w:rPr>
          <w:rFonts w:ascii="Times New Roman" w:hAnsi="Times New Roman" w:cs="Times New Roman"/>
          <w:sz w:val="24"/>
          <w:szCs w:val="24"/>
          <w:lang w:val="en-US"/>
        </w:rPr>
        <w:t xml:space="preserve"> (15), knowledg</w:t>
      </w:r>
      <w:r>
        <w:rPr>
          <w:rFonts w:ascii="Times New Roman" w:hAnsi="Times New Roman" w:cs="Times New Roman"/>
          <w:sz w:val="24"/>
          <w:szCs w:val="24"/>
          <w:lang w:val="en-US"/>
        </w:rPr>
        <w:t xml:space="preserve">e of </w:t>
      </w:r>
      <w:r>
        <w:rPr>
          <w:rFonts w:ascii="Times New Roman" w:hAnsi="Times New Roman" w:cs="Times New Roman"/>
          <w:sz w:val="24"/>
          <w:szCs w:val="24"/>
          <w:lang w:val="en-US"/>
        </w:rPr>
        <w:lastRenderedPageBreak/>
        <w:t>a word involves knowing its</w:t>
      </w:r>
      <w:r w:rsidRPr="00C25A39">
        <w:rPr>
          <w:rFonts w:ascii="Times New Roman" w:hAnsi="Times New Roman" w:cs="Times New Roman"/>
          <w:sz w:val="24"/>
          <w:szCs w:val="24"/>
          <w:lang w:val="en-US"/>
        </w:rPr>
        <w:t xml:space="preserve"> Meaning - meanings in context, sense of relation (synonyms/antonyms), Form – spelling and pronunciation, affixes, parts of speech, Grammar – plurals, </w:t>
      </w:r>
      <w:proofErr w:type="spellStart"/>
      <w:r w:rsidRPr="00C25A39">
        <w:rPr>
          <w:rFonts w:ascii="Times New Roman" w:hAnsi="Times New Roman" w:cs="Times New Roman"/>
          <w:sz w:val="24"/>
          <w:szCs w:val="24"/>
          <w:lang w:val="en-US"/>
        </w:rPr>
        <w:t>countability</w:t>
      </w:r>
      <w:proofErr w:type="spellEnd"/>
      <w:r w:rsidRPr="00C25A39">
        <w:rPr>
          <w:rFonts w:ascii="Times New Roman" w:hAnsi="Times New Roman" w:cs="Times New Roman"/>
          <w:sz w:val="24"/>
          <w:szCs w:val="24"/>
          <w:lang w:val="en-US"/>
        </w:rPr>
        <w:t>, past simple/participle forms, Usage – collocations and appropriate register.</w:t>
      </w:r>
    </w:p>
    <w:sectPr w:rsidR="00060933" w:rsidRPr="00C25A39"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C25A39"/>
    <w:rsid w:val="00060933"/>
    <w:rsid w:val="002578A8"/>
    <w:rsid w:val="006717A5"/>
    <w:rsid w:val="00AC1E02"/>
    <w:rsid w:val="00B12EA2"/>
    <w:rsid w:val="00BC758A"/>
    <w:rsid w:val="00C25A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549</Words>
  <Characters>3131</Characters>
  <Application>Microsoft Office Word</Application>
  <DocSecurity>0</DocSecurity>
  <Lines>26</Lines>
  <Paragraphs>7</Paragraphs>
  <ScaleCrop>false</ScaleCrop>
  <Company/>
  <LinksUpToDate>false</LinksUpToDate>
  <CharactersWithSpaces>3673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2020-02-03T07:36:00Z</dcterms:created>
  <dcterms:modified xsi:type="dcterms:W3CDTF">2020-02-03T07:39:00Z</dcterms:modified>
</cp:coreProperties>
</file>